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6C9A3" w14:textId="70902675" w:rsidR="008109C1" w:rsidRDefault="008109C1" w:rsidP="008109C1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 w:rsidR="002F74F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3A</w:t>
      </w: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– RELAZIONE TECNICA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</w:t>
      </w:r>
    </w:p>
    <w:p w14:paraId="1900AE04" w14:textId="075FE3D2" w:rsidR="009B4C30" w:rsidRPr="00C660AE" w:rsidRDefault="008109C1" w:rsidP="009F7F74">
      <w:pPr>
        <w:pStyle w:val="CLASSIFICAZIONEBODY1"/>
        <w:spacing w:line="300" w:lineRule="exact"/>
        <w:rPr>
          <w:rFonts w:ascii="Arial" w:hAnsi="Arial" w:cs="Arial"/>
          <w:bCs/>
          <w:color w:val="0070C0"/>
          <w:szCs w:val="20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LOTTI </w:t>
      </w:r>
      <w:r w:rsidR="009F7F74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1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,</w:t>
      </w:r>
      <w:r w:rsidR="009F7F74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2,3,4,6,7,10</w:t>
      </w:r>
      <w:r w:rsidR="009B4C30" w:rsidRPr="00C660AE">
        <w:rPr>
          <w:rFonts w:ascii="Arial" w:hAnsi="Arial" w:cs="Arial"/>
          <w:kern w:val="32"/>
          <w:szCs w:val="20"/>
        </w:rPr>
        <w:br w:type="page"/>
      </w:r>
    </w:p>
    <w:p w14:paraId="5C09991B" w14:textId="78DD56B6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lastRenderedPageBreak/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="00290BDF">
        <w:rPr>
          <w:rFonts w:ascii="Arial" w:hAnsi="Arial" w:cs="Arial"/>
          <w:b/>
          <w:bCs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="00290BDF">
        <w:rPr>
          <w:rFonts w:ascii="Arial" w:hAnsi="Arial" w:cs="Arial"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407F1435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45D99B97" w14:textId="546AB849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2D3929">
        <w:rPr>
          <w:rStyle w:val="Grassetto"/>
          <w:rFonts w:ascii="Arial" w:hAnsi="Arial" w:cs="Arial"/>
          <w:b w:val="0"/>
          <w:szCs w:val="20"/>
        </w:rPr>
        <w:t>10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6FB4F5AB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2D3929">
        <w:rPr>
          <w:rFonts w:ascii="Arial" w:hAnsi="Arial" w:cs="Arial"/>
          <w:szCs w:val="20"/>
        </w:rPr>
        <w:t xml:space="preserve">35 </w:t>
      </w:r>
      <w:r w:rsidRPr="00C660AE">
        <w:rPr>
          <w:rFonts w:ascii="Arial" w:hAnsi="Arial" w:cs="Arial"/>
          <w:szCs w:val="20"/>
        </w:rPr>
        <w:t>pagine</w:t>
      </w:r>
      <w:r w:rsidR="008109C1">
        <w:rPr>
          <w:rFonts w:ascii="Arial" w:hAnsi="Arial" w:cs="Arial"/>
          <w:szCs w:val="20"/>
        </w:rPr>
        <w:t>, formato A4.</w:t>
      </w:r>
      <w:r w:rsidR="00D4395C">
        <w:rPr>
          <w:rFonts w:ascii="Arial" w:hAnsi="Arial" w:cs="Arial"/>
          <w:szCs w:val="20"/>
        </w:rPr>
        <w:t xml:space="preserve"> </w:t>
      </w:r>
      <w:r w:rsidR="008109C1" w:rsidRPr="008109C1">
        <w:rPr>
          <w:rFonts w:ascii="Arial" w:hAnsi="Arial" w:cs="Arial"/>
          <w:szCs w:val="20"/>
        </w:rPr>
        <w:t>La scelta dell’orientamento delle pagine (orizzontale o verticale) è a discrezione del concorrente.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precisa che </w:t>
      </w:r>
    </w:p>
    <w:p w14:paraId="14BD4E3B" w14:textId="135DAAED" w:rsidR="00FA4CB6" w:rsidRPr="008109C1" w:rsidRDefault="00FA4CB6" w:rsidP="008109C1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5B7E6825" w:rsidR="00FA4CB6" w:rsidRPr="008109C1" w:rsidRDefault="00FA4CB6" w:rsidP="008109C1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szCs w:val="20"/>
        </w:rPr>
      </w:pPr>
      <w:r w:rsidRPr="008109C1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1069224E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72D3984E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738D0C6" w14:textId="0C4182C2" w:rsidR="00FA4CB6" w:rsidRPr="00C660AE" w:rsidRDefault="00FA4CB6" w:rsidP="00D4395C"/>
    <w:p w14:paraId="02B77764" w14:textId="4FE86143" w:rsidR="008109C1" w:rsidRDefault="008109C1" w:rsidP="00D4395C">
      <w:pPr>
        <w:rPr>
          <w:b/>
          <w:bCs/>
          <w:i/>
          <w:color w:val="0000FF"/>
        </w:rPr>
      </w:pPr>
    </w:p>
    <w:p w14:paraId="4D40C529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44F7A0EB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36699AC1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44AD25F2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529212B2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4435DF8C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458F21AC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76898C30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3DFA17DA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741FE64E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35230877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22FF5F9B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1867400B" w14:textId="77777777" w:rsidR="008109C1" w:rsidRDefault="008109C1" w:rsidP="00D4395C">
      <w:pPr>
        <w:rPr>
          <w:rStyle w:val="BLOCKBOLD"/>
          <w:rFonts w:ascii="Arial" w:hAnsi="Arial"/>
          <w:bCs/>
        </w:rPr>
      </w:pPr>
    </w:p>
    <w:p w14:paraId="19AE17DF" w14:textId="332B1F94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4A9AB411" w14:textId="7746E61A" w:rsidR="000115C6" w:rsidRPr="001D5DC2" w:rsidRDefault="001D5DC2" w:rsidP="00FA4CB6">
      <w:pPr>
        <w:pStyle w:val="Corsivoblu"/>
        <w:rPr>
          <w:rFonts w:ascii="Arial" w:hAnsi="Arial" w:cs="Arial"/>
          <w:color w:val="0070C0"/>
          <w:szCs w:val="20"/>
        </w:rPr>
      </w:pPr>
      <w:r w:rsidRPr="001D5DC2">
        <w:rPr>
          <w:rFonts w:ascii="Arial" w:hAnsi="Arial" w:cs="Arial"/>
          <w:b/>
          <w:bCs/>
          <w:i w:val="0"/>
          <w:iCs/>
          <w:color w:val="auto"/>
          <w:szCs w:val="20"/>
        </w:rPr>
        <w:t xml:space="preserve">GARA A PROCEDURA APERTA PER L’ACQUISIZIONE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SIGEF 2887 – LOTTO </w:t>
      </w:r>
      <w:r w:rsidRPr="001D5DC2">
        <w:rPr>
          <w:rFonts w:ascii="Arial" w:hAnsi="Arial" w:cs="Arial"/>
          <w:b/>
          <w:bCs/>
          <w:color w:val="0070C0"/>
          <w:szCs w:val="20"/>
        </w:rPr>
        <w:t>_____&lt;INDICARE IL LOTTO AL QUALE SI INTENDE PARTECIPARE</w:t>
      </w:r>
      <w:r w:rsidRPr="001D5DC2">
        <w:rPr>
          <w:rFonts w:ascii="Arial" w:hAnsi="Arial" w:cs="Arial"/>
          <w:color w:val="0070C0"/>
          <w:kern w:val="0"/>
        </w:rPr>
        <w:t>&gt;</w:t>
      </w:r>
    </w:p>
    <w:p w14:paraId="4D23F416" w14:textId="77777777" w:rsidR="001D5DC2" w:rsidRDefault="001D5DC2" w:rsidP="001D5DC2">
      <w:pPr>
        <w:rPr>
          <w:rStyle w:val="BLOCKBOLD"/>
          <w:rFonts w:ascii="Arial" w:hAnsi="Arial" w:cs="Arial"/>
        </w:rPr>
      </w:pPr>
    </w:p>
    <w:p w14:paraId="614D5620" w14:textId="6560C9A0" w:rsidR="00FA4CB6" w:rsidRPr="00C660AE" w:rsidRDefault="001D5DC2" w:rsidP="001D5DC2">
      <w:pPr>
        <w:rPr>
          <w:rStyle w:val="BLOCKBOLD"/>
          <w:rFonts w:ascii="Arial" w:hAnsi="Arial" w:cs="Arial"/>
        </w:rPr>
      </w:pPr>
      <w:r>
        <w:rPr>
          <w:rStyle w:val="BLOCKBOLD"/>
          <w:rFonts w:ascii="Arial" w:hAnsi="Arial" w:cs="Arial"/>
        </w:rPr>
        <w:t>PRESENTAZIONE E DESCRIZIONE OFFERENTE</w:t>
      </w:r>
    </w:p>
    <w:p w14:paraId="379819C4" w14:textId="304F5C5D" w:rsidR="00FA4CB6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  <w:r w:rsidR="004C1056">
        <w:rPr>
          <w:rFonts w:ascii="Arial" w:hAnsi="Arial" w:cs="Arial"/>
          <w:szCs w:val="20"/>
        </w:rPr>
        <w:t>.</w:t>
      </w:r>
    </w:p>
    <w:p w14:paraId="558D3FC3" w14:textId="77777777" w:rsidR="004214A6" w:rsidRDefault="004214A6" w:rsidP="00FA4CB6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004B5198" w14:textId="1E316E7F" w:rsidR="005D3FF4" w:rsidRPr="001D5DC2" w:rsidRDefault="00E350DA" w:rsidP="000C079C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  <w:r w:rsidRPr="001D5DC2">
        <w:rPr>
          <w:rFonts w:ascii="Arial" w:hAnsi="Arial" w:cs="Arial"/>
          <w:b/>
          <w:bCs/>
          <w:szCs w:val="20"/>
        </w:rPr>
        <w:t>RELAZIONE TECNICA</w:t>
      </w:r>
      <w:r w:rsidR="007E1412">
        <w:rPr>
          <w:rFonts w:ascii="Arial" w:hAnsi="Arial" w:cs="Arial"/>
          <w:b/>
          <w:bCs/>
          <w:szCs w:val="20"/>
        </w:rPr>
        <w:t xml:space="preserve"> (lotti </w:t>
      </w:r>
      <w:r w:rsidR="00D4395C">
        <w:rPr>
          <w:rFonts w:ascii="Arial" w:hAnsi="Arial" w:cs="Arial"/>
          <w:b/>
          <w:bCs/>
          <w:szCs w:val="20"/>
        </w:rPr>
        <w:t>1,2,3,4,6,7,10</w:t>
      </w:r>
      <w:r w:rsidR="00275C45">
        <w:rPr>
          <w:rFonts w:ascii="Arial" w:hAnsi="Arial" w:cs="Arial"/>
          <w:b/>
          <w:bCs/>
          <w:szCs w:val="20"/>
        </w:rPr>
        <w:t>)</w:t>
      </w:r>
      <w:bookmarkStart w:id="0" w:name="_Hlk210296282"/>
    </w:p>
    <w:bookmarkEnd w:id="0"/>
    <w:p w14:paraId="0C641EE2" w14:textId="0D49A677" w:rsidR="00D46B93" w:rsidRPr="001D5DC2" w:rsidRDefault="00D46B93" w:rsidP="001D5DC2">
      <w:pPr>
        <w:rPr>
          <w:rFonts w:ascii="Arial" w:hAnsi="Arial" w:cs="Arial"/>
          <w:b/>
          <w:bCs/>
          <w:kern w:val="0"/>
          <w:szCs w:val="20"/>
        </w:rPr>
      </w:pPr>
    </w:p>
    <w:p w14:paraId="780170AE" w14:textId="3282EA75" w:rsidR="00D46B93" w:rsidRPr="001D5DC2" w:rsidRDefault="00D46B93" w:rsidP="001D5DC2">
      <w:pPr>
        <w:ind w:left="426"/>
        <w:rPr>
          <w:rFonts w:ascii="Arial" w:hAnsi="Arial" w:cs="Arial"/>
          <w:b/>
          <w:bCs/>
          <w:szCs w:val="20"/>
        </w:rPr>
      </w:pPr>
      <w:r w:rsidRPr="001D5DC2">
        <w:rPr>
          <w:rFonts w:ascii="Arial" w:hAnsi="Arial" w:cs="Arial"/>
          <w:b/>
          <w:bCs/>
          <w:szCs w:val="20"/>
        </w:rPr>
        <w:t xml:space="preserve">Criterio 1 – </w:t>
      </w:r>
      <w:r w:rsidR="009E5171" w:rsidRPr="001D5DC2">
        <w:rPr>
          <w:rFonts w:ascii="Arial" w:hAnsi="Arial" w:cs="Arial"/>
          <w:b/>
          <w:bCs/>
          <w:szCs w:val="20"/>
        </w:rPr>
        <w:t xml:space="preserve">ORGANIZZAZIONE </w:t>
      </w:r>
    </w:p>
    <w:p w14:paraId="6A4CC655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1.1 </w:t>
      </w:r>
      <w:r w:rsidRPr="00AB29C0">
        <w:rPr>
          <w:rFonts w:ascii="Arial" w:hAnsi="Arial" w:cs="Arial"/>
          <w:kern w:val="0"/>
          <w:szCs w:val="20"/>
        </w:rPr>
        <w:t>- Modello organizzativo e Gruppo di lavoro</w:t>
      </w:r>
    </w:p>
    <w:p w14:paraId="1E61A64A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1.2 </w:t>
      </w:r>
      <w:r w:rsidRPr="00AB29C0">
        <w:rPr>
          <w:rFonts w:ascii="Arial" w:hAnsi="Arial" w:cs="Arial"/>
          <w:kern w:val="0"/>
          <w:szCs w:val="20"/>
        </w:rPr>
        <w:t>– Flessibilità nell’erogazione dei servizi</w:t>
      </w:r>
    </w:p>
    <w:p w14:paraId="23351E94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>-</w:t>
      </w:r>
      <w:r w:rsidRPr="00AB29C0">
        <w:rPr>
          <w:rFonts w:ascii="Arial" w:hAnsi="Arial" w:cs="Arial"/>
          <w:b/>
          <w:bCs/>
          <w:kern w:val="0"/>
          <w:szCs w:val="20"/>
        </w:rPr>
        <w:t>criterio 1.3</w:t>
      </w:r>
      <w:r w:rsidRPr="00AB29C0">
        <w:rPr>
          <w:rFonts w:ascii="Arial" w:hAnsi="Arial" w:cs="Arial"/>
          <w:kern w:val="0"/>
          <w:szCs w:val="20"/>
        </w:rPr>
        <w:t>. - Misure in materia di selezione del personale</w:t>
      </w:r>
    </w:p>
    <w:p w14:paraId="47E2E85C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>sub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AB29C0">
        <w:rPr>
          <w:rFonts w:ascii="Arial" w:hAnsi="Arial" w:cs="Arial"/>
          <w:b/>
          <w:bCs/>
          <w:kern w:val="0"/>
          <w:szCs w:val="20"/>
        </w:rPr>
        <w:t>criterio 1.4</w:t>
      </w:r>
      <w:r w:rsidRPr="00AB29C0">
        <w:rPr>
          <w:rFonts w:ascii="Arial" w:hAnsi="Arial" w:cs="Arial"/>
          <w:kern w:val="0"/>
          <w:szCs w:val="20"/>
        </w:rPr>
        <w:t>. - Misure in materia di sostenibilità ambientale</w:t>
      </w:r>
    </w:p>
    <w:p w14:paraId="66F8EE08" w14:textId="3C99DC1B" w:rsidR="00D46B93" w:rsidRPr="001D5DC2" w:rsidRDefault="00D46B93" w:rsidP="001D5DC2">
      <w:pPr>
        <w:kinsoku w:val="0"/>
        <w:overflowPunct w:val="0"/>
        <w:spacing w:before="207" w:line="195" w:lineRule="exact"/>
        <w:ind w:left="504" w:hanging="78"/>
        <w:textAlignment w:val="baseline"/>
        <w:rPr>
          <w:rFonts w:ascii="Arial" w:hAnsi="Arial" w:cs="Arial"/>
          <w:b/>
          <w:bCs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2 - METODOLOGIE E STRUMENTI</w:t>
      </w:r>
    </w:p>
    <w:p w14:paraId="76D09639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2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2.1 </w:t>
      </w:r>
      <w:r w:rsidRPr="00AB29C0">
        <w:rPr>
          <w:rFonts w:ascii="Arial" w:hAnsi="Arial" w:cs="Arial"/>
          <w:kern w:val="0"/>
          <w:szCs w:val="20"/>
        </w:rPr>
        <w:t>- Metodologia nell'ambito dell'audit sulle operazioni</w:t>
      </w:r>
    </w:p>
    <w:p w14:paraId="3B20096F" w14:textId="77777777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6" w:line="226" w:lineRule="exact"/>
        <w:jc w:val="left"/>
        <w:textAlignment w:val="baseline"/>
        <w:rPr>
          <w:rFonts w:ascii="Arial" w:hAnsi="Arial" w:cs="Arial"/>
          <w:spacing w:val="-1"/>
          <w:kern w:val="0"/>
          <w:szCs w:val="20"/>
        </w:rPr>
      </w:pPr>
      <w:r w:rsidRPr="00AB29C0">
        <w:rPr>
          <w:rFonts w:ascii="Arial" w:hAnsi="Arial" w:cs="Arial"/>
          <w:b/>
          <w:spacing w:val="-1"/>
          <w:kern w:val="0"/>
          <w:szCs w:val="20"/>
        </w:rPr>
        <w:t xml:space="preserve">sub-criterio 2.2 </w:t>
      </w:r>
      <w:r w:rsidRPr="00AB29C0">
        <w:rPr>
          <w:rFonts w:ascii="Arial" w:hAnsi="Arial" w:cs="Arial"/>
          <w:spacing w:val="-1"/>
          <w:kern w:val="0"/>
          <w:szCs w:val="20"/>
        </w:rPr>
        <w:t xml:space="preserve">– Monitoraggio del servizio </w:t>
      </w:r>
    </w:p>
    <w:p w14:paraId="5716C38F" w14:textId="77777777" w:rsidR="00D46B93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2.3 </w:t>
      </w:r>
      <w:r w:rsidRPr="00AB29C0">
        <w:rPr>
          <w:rFonts w:ascii="Arial" w:hAnsi="Arial" w:cs="Arial"/>
          <w:kern w:val="0"/>
          <w:szCs w:val="20"/>
        </w:rPr>
        <w:t>- Modalità di presa in carico delle attività e di trasferimento del Know-how</w:t>
      </w:r>
    </w:p>
    <w:p w14:paraId="752C602D" w14:textId="7FE702DC" w:rsidR="00D4395C" w:rsidRPr="00D4395C" w:rsidRDefault="00D4395C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72" w:line="226" w:lineRule="exact"/>
        <w:jc w:val="left"/>
        <w:textAlignment w:val="baseline"/>
        <w:rPr>
          <w:rFonts w:ascii="Arial" w:hAnsi="Arial" w:cs="Arial"/>
          <w:b/>
          <w:kern w:val="0"/>
          <w:szCs w:val="20"/>
        </w:rPr>
      </w:pPr>
      <w:r w:rsidRPr="00D4395C">
        <w:rPr>
          <w:rFonts w:ascii="Arial" w:hAnsi="Arial" w:cs="Arial"/>
          <w:b/>
          <w:kern w:val="0"/>
          <w:szCs w:val="20"/>
        </w:rPr>
        <w:t>sub-criterio 2.4</w:t>
      </w:r>
      <w:r>
        <w:rPr>
          <w:rFonts w:ascii="Arial" w:hAnsi="Arial" w:cs="Arial"/>
          <w:b/>
          <w:kern w:val="0"/>
          <w:szCs w:val="20"/>
        </w:rPr>
        <w:t xml:space="preserve"> – </w:t>
      </w:r>
      <w:r w:rsidRPr="00D4395C">
        <w:rPr>
          <w:rFonts w:ascii="Arial" w:hAnsi="Arial" w:cs="Arial"/>
          <w:bCs/>
          <w:kern w:val="0"/>
          <w:szCs w:val="20"/>
        </w:rPr>
        <w:t>Metodologia nell’ambito delle attività specifiche relative ai Programmi di Cooperazione Territoriale Europea (CTE)</w:t>
      </w:r>
    </w:p>
    <w:p w14:paraId="1F5935CB" w14:textId="28FDF55E" w:rsidR="00D46B93" w:rsidRPr="001D5DC2" w:rsidRDefault="00D46B93" w:rsidP="00D46B93">
      <w:pPr>
        <w:kinsoku w:val="0"/>
        <w:overflowPunct w:val="0"/>
        <w:spacing w:before="220" w:line="195" w:lineRule="exact"/>
        <w:ind w:left="504"/>
        <w:textAlignment w:val="baseline"/>
        <w:rPr>
          <w:rFonts w:ascii="Arial" w:hAnsi="Arial" w:cs="Arial"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3 -</w:t>
      </w:r>
      <w:r w:rsidR="009E5171">
        <w:rPr>
          <w:rFonts w:ascii="Arial" w:hAnsi="Arial" w:cs="Arial"/>
          <w:b/>
          <w:bCs/>
          <w:iCs/>
          <w:kern w:val="0"/>
          <w:szCs w:val="20"/>
        </w:rPr>
        <w:t xml:space="preserve"> </w:t>
      </w:r>
      <w:r w:rsidRPr="001D5DC2">
        <w:rPr>
          <w:rFonts w:ascii="Arial" w:hAnsi="Arial" w:cs="Arial"/>
          <w:b/>
          <w:bCs/>
          <w:iCs/>
          <w:kern w:val="0"/>
          <w:szCs w:val="20"/>
        </w:rPr>
        <w:t>ESPERIENZ</w:t>
      </w:r>
      <w:r w:rsidR="00E310F6">
        <w:rPr>
          <w:rFonts w:ascii="Arial" w:hAnsi="Arial" w:cs="Arial"/>
          <w:b/>
          <w:bCs/>
          <w:iCs/>
          <w:kern w:val="0"/>
          <w:szCs w:val="20"/>
        </w:rPr>
        <w:t>A</w:t>
      </w:r>
      <w:r w:rsidRPr="001D5DC2">
        <w:rPr>
          <w:rFonts w:ascii="Arial" w:hAnsi="Arial" w:cs="Arial"/>
          <w:b/>
          <w:bCs/>
          <w:iCs/>
          <w:kern w:val="0"/>
          <w:szCs w:val="20"/>
        </w:rPr>
        <w:t xml:space="preserve"> PREGRESS</w:t>
      </w:r>
      <w:r w:rsidR="00E310F6">
        <w:rPr>
          <w:rFonts w:ascii="Arial" w:hAnsi="Arial" w:cs="Arial"/>
          <w:b/>
          <w:bCs/>
          <w:iCs/>
          <w:kern w:val="0"/>
          <w:szCs w:val="20"/>
        </w:rPr>
        <w:t>A</w:t>
      </w:r>
    </w:p>
    <w:p w14:paraId="3C71755A" w14:textId="0E968D5B" w:rsidR="00D46B93" w:rsidRPr="00AB29C0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3.1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="001D5DC2">
        <w:rPr>
          <w:rFonts w:ascii="Arial" w:hAnsi="Arial" w:cs="Arial"/>
          <w:kern w:val="0"/>
          <w:szCs w:val="20"/>
        </w:rPr>
        <w:t>E</w:t>
      </w:r>
      <w:r w:rsidRPr="00AB29C0">
        <w:rPr>
          <w:rFonts w:ascii="Arial" w:hAnsi="Arial" w:cs="Arial"/>
          <w:kern w:val="0"/>
          <w:szCs w:val="20"/>
        </w:rPr>
        <w:t>sperienz</w:t>
      </w:r>
      <w:r w:rsidR="00E310F6">
        <w:rPr>
          <w:rFonts w:ascii="Arial" w:hAnsi="Arial" w:cs="Arial"/>
          <w:kern w:val="0"/>
          <w:szCs w:val="20"/>
        </w:rPr>
        <w:t>a</w:t>
      </w:r>
      <w:r w:rsidRPr="00AB29C0">
        <w:rPr>
          <w:rFonts w:ascii="Arial" w:hAnsi="Arial" w:cs="Arial"/>
          <w:kern w:val="0"/>
          <w:szCs w:val="20"/>
        </w:rPr>
        <w:t xml:space="preserve"> pregress</w:t>
      </w:r>
      <w:r w:rsidR="00E310F6">
        <w:rPr>
          <w:rFonts w:ascii="Arial" w:hAnsi="Arial" w:cs="Arial"/>
          <w:kern w:val="0"/>
          <w:szCs w:val="20"/>
        </w:rPr>
        <w:t>a</w:t>
      </w:r>
    </w:p>
    <w:p w14:paraId="67AFD7E8" w14:textId="4011D1EE" w:rsidR="00D46B93" w:rsidRPr="001D5DC2" w:rsidRDefault="00D46B93" w:rsidP="00D46B93">
      <w:pPr>
        <w:kinsoku w:val="0"/>
        <w:overflowPunct w:val="0"/>
        <w:spacing w:before="203" w:line="195" w:lineRule="exact"/>
        <w:ind w:left="504"/>
        <w:textAlignment w:val="baseline"/>
        <w:rPr>
          <w:rFonts w:ascii="Arial" w:hAnsi="Arial" w:cs="Arial"/>
          <w:b/>
          <w:bCs/>
          <w:iCs/>
          <w:kern w:val="0"/>
          <w:szCs w:val="20"/>
        </w:rPr>
      </w:pPr>
      <w:r w:rsidRPr="001D5DC2">
        <w:rPr>
          <w:rFonts w:ascii="Arial" w:hAnsi="Arial" w:cs="Arial"/>
          <w:b/>
          <w:bCs/>
          <w:iCs/>
          <w:kern w:val="0"/>
          <w:szCs w:val="20"/>
        </w:rPr>
        <w:t>Criterio 4 – FORMAZIONE DEL PERSONALE</w:t>
      </w:r>
    </w:p>
    <w:p w14:paraId="5FFAD3CB" w14:textId="77777777" w:rsidR="00D46B93" w:rsidRDefault="00D46B93" w:rsidP="00D46B93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  <w:r w:rsidRPr="00AB29C0">
        <w:rPr>
          <w:rFonts w:ascii="Arial" w:hAnsi="Arial" w:cs="Arial"/>
          <w:b/>
          <w:kern w:val="0"/>
          <w:szCs w:val="20"/>
        </w:rPr>
        <w:t xml:space="preserve">sub-criterio 4.1 </w:t>
      </w:r>
      <w:r w:rsidRPr="00AB29C0">
        <w:rPr>
          <w:rFonts w:ascii="Arial" w:hAnsi="Arial" w:cs="Arial"/>
          <w:kern w:val="0"/>
          <w:szCs w:val="20"/>
        </w:rPr>
        <w:t xml:space="preserve">- </w:t>
      </w:r>
      <w:r w:rsidRPr="00D47D65">
        <w:rPr>
          <w:rFonts w:ascii="Arial" w:hAnsi="Arial" w:cs="Arial"/>
          <w:kern w:val="0"/>
          <w:szCs w:val="20"/>
        </w:rPr>
        <w:t>Attività di formazione specialistica e aggiornamento per le Autorità di Audit</w:t>
      </w:r>
    </w:p>
    <w:p w14:paraId="591D61AF" w14:textId="77777777" w:rsidR="00C04289" w:rsidRDefault="00C04289" w:rsidP="001D5DC2">
      <w:pPr>
        <w:kinsoku w:val="0"/>
        <w:overflowPunct w:val="0"/>
        <w:autoSpaceDE/>
        <w:autoSpaceDN/>
        <w:adjustRightInd/>
        <w:spacing w:before="96" w:line="226" w:lineRule="exact"/>
        <w:ind w:left="1368"/>
        <w:jc w:val="left"/>
        <w:textAlignment w:val="baseline"/>
        <w:rPr>
          <w:rFonts w:ascii="Arial" w:hAnsi="Arial" w:cs="Arial"/>
          <w:kern w:val="0"/>
          <w:szCs w:val="20"/>
        </w:rPr>
      </w:pPr>
    </w:p>
    <w:p w14:paraId="59C3B2E4" w14:textId="009888CA" w:rsidR="00C04289" w:rsidRPr="001D5DC2" w:rsidRDefault="00C04289" w:rsidP="001D5DC2">
      <w:pPr>
        <w:pStyle w:val="Paragrafoelenco"/>
        <w:kinsoku w:val="0"/>
        <w:overflowPunct w:val="0"/>
        <w:autoSpaceDE/>
        <w:autoSpaceDN/>
        <w:adjustRightInd/>
        <w:spacing w:before="96" w:line="226" w:lineRule="exact"/>
        <w:jc w:val="left"/>
        <w:textAlignment w:val="baseline"/>
        <w:rPr>
          <w:rFonts w:ascii="Arial" w:hAnsi="Arial" w:cs="Arial"/>
          <w:kern w:val="0"/>
          <w:szCs w:val="20"/>
        </w:rPr>
      </w:pPr>
    </w:p>
    <w:sectPr w:rsidR="00C04289" w:rsidRPr="001D5DC2" w:rsidSect="00CF2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120BE" w14:textId="77777777" w:rsidR="003B15EB" w:rsidRDefault="003B15EB" w:rsidP="009B4C30">
      <w:pPr>
        <w:spacing w:line="240" w:lineRule="auto"/>
      </w:pPr>
      <w:r>
        <w:separator/>
      </w:r>
    </w:p>
  </w:endnote>
  <w:endnote w:type="continuationSeparator" w:id="0">
    <w:p w14:paraId="11921701" w14:textId="77777777" w:rsidR="003B15EB" w:rsidRDefault="003B15E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86A4" w14:textId="77777777" w:rsidR="00513102" w:rsidRDefault="005131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1521C309" w14:textId="77777777" w:rsidR="00513102" w:rsidRPr="00513102" w:rsidRDefault="00513102" w:rsidP="00513102">
    <w:pPr>
      <w:pStyle w:val="Pidipagina"/>
      <w:rPr>
        <w:rFonts w:ascii="Arial" w:hAnsi="Arial" w:cs="Arial"/>
        <w:sz w:val="14"/>
        <w:szCs w:val="14"/>
      </w:rPr>
    </w:pPr>
    <w:r w:rsidRPr="00513102">
      <w:rPr>
        <w:rFonts w:ascii="Arial" w:hAnsi="Arial" w:cs="Arial"/>
        <w:sz w:val="14"/>
        <w:szCs w:val="14"/>
      </w:rPr>
      <w:t xml:space="preserve">Gara a procedura aperta ai sensi del </w:t>
    </w:r>
    <w:proofErr w:type="spellStart"/>
    <w:r w:rsidRPr="00513102">
      <w:rPr>
        <w:rFonts w:ascii="Arial" w:hAnsi="Arial" w:cs="Arial"/>
        <w:sz w:val="14"/>
        <w:szCs w:val="14"/>
      </w:rPr>
      <w:t>D.Lgs.</w:t>
    </w:r>
    <w:proofErr w:type="spellEnd"/>
    <w:r w:rsidRPr="00513102">
      <w:rPr>
        <w:rFonts w:ascii="Arial" w:hAnsi="Arial" w:cs="Arial"/>
        <w:sz w:val="14"/>
        <w:szCs w:val="14"/>
      </w:rPr>
      <w:t xml:space="preserve">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 – MODULI DI DICHIARAZIONE</w:t>
    </w:r>
  </w:p>
  <w:p w14:paraId="77E372AF" w14:textId="57ACA423" w:rsidR="00603946" w:rsidRPr="008B3373" w:rsidRDefault="00603946" w:rsidP="005131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B902" w14:textId="77777777" w:rsidR="00513102" w:rsidRDefault="005131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7E398" w14:textId="77777777" w:rsidR="003B15EB" w:rsidRDefault="003B15EB" w:rsidP="009B4C30">
      <w:pPr>
        <w:spacing w:line="240" w:lineRule="auto"/>
      </w:pPr>
      <w:r>
        <w:separator/>
      </w:r>
    </w:p>
  </w:footnote>
  <w:footnote w:type="continuationSeparator" w:id="0">
    <w:p w14:paraId="255C71EF" w14:textId="77777777" w:rsidR="003B15EB" w:rsidRDefault="003B15E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A763" w14:textId="77777777" w:rsidR="00513102" w:rsidRDefault="005131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A6CA" w14:textId="77777777" w:rsidR="00513102" w:rsidRDefault="005131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046A"/>
    <w:multiLevelType w:val="singleLevel"/>
    <w:tmpl w:val="FFFFFFFF"/>
    <w:lvl w:ilvl="0">
      <w:numFmt w:val="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/>
        <w:snapToGrid/>
        <w:spacing w:val="-2"/>
        <w:sz w:val="20"/>
      </w:rPr>
    </w:lvl>
  </w:abstractNum>
  <w:abstractNum w:abstractNumId="1" w15:restartNumberingAfterBreak="0">
    <w:nsid w:val="278F5C56"/>
    <w:multiLevelType w:val="hybridMultilevel"/>
    <w:tmpl w:val="407653A8"/>
    <w:lvl w:ilvl="0" w:tplc="EA1CBD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353DD"/>
    <w:multiLevelType w:val="hybridMultilevel"/>
    <w:tmpl w:val="1ABCFA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BD7005"/>
    <w:multiLevelType w:val="multilevel"/>
    <w:tmpl w:val="62EEA5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466BD4"/>
    <w:multiLevelType w:val="hybridMultilevel"/>
    <w:tmpl w:val="E06635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06545">
    <w:abstractNumId w:val="3"/>
  </w:num>
  <w:num w:numId="2" w16cid:durableId="703138300">
    <w:abstractNumId w:val="2"/>
  </w:num>
  <w:num w:numId="3" w16cid:durableId="2037390451">
    <w:abstractNumId w:val="0"/>
    <w:lvlOverride w:ilvl="0">
      <w:lvl w:ilvl="0">
        <w:numFmt w:val="bullet"/>
        <w:lvlText w:val="·"/>
        <w:lvlJc w:val="left"/>
        <w:pPr>
          <w:tabs>
            <w:tab w:val="num" w:pos="1567"/>
          </w:tabs>
          <w:ind w:left="1567" w:hanging="432"/>
        </w:pPr>
        <w:rPr>
          <w:rFonts w:ascii="Symbol" w:hAnsi="Symbol"/>
          <w:b/>
          <w:snapToGrid/>
          <w:sz w:val="19"/>
        </w:rPr>
      </w:lvl>
    </w:lvlOverride>
  </w:num>
  <w:num w:numId="4" w16cid:durableId="814683406">
    <w:abstractNumId w:val="1"/>
  </w:num>
  <w:num w:numId="5" w16cid:durableId="651830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DCC"/>
    <w:rsid w:val="000115C6"/>
    <w:rsid w:val="00012A7C"/>
    <w:rsid w:val="00030BD7"/>
    <w:rsid w:val="00041E8A"/>
    <w:rsid w:val="00054207"/>
    <w:rsid w:val="00062E47"/>
    <w:rsid w:val="00071A61"/>
    <w:rsid w:val="00073AA9"/>
    <w:rsid w:val="00085AAF"/>
    <w:rsid w:val="000A797D"/>
    <w:rsid w:val="000C079C"/>
    <w:rsid w:val="000C51A7"/>
    <w:rsid w:val="000D2A1C"/>
    <w:rsid w:val="000D7F53"/>
    <w:rsid w:val="001015EC"/>
    <w:rsid w:val="001306F3"/>
    <w:rsid w:val="00140A2C"/>
    <w:rsid w:val="00164CDB"/>
    <w:rsid w:val="001C139D"/>
    <w:rsid w:val="001C2330"/>
    <w:rsid w:val="001C618C"/>
    <w:rsid w:val="001D5DC2"/>
    <w:rsid w:val="001F65F6"/>
    <w:rsid w:val="001F6EAA"/>
    <w:rsid w:val="00223D30"/>
    <w:rsid w:val="0023550C"/>
    <w:rsid w:val="00275C45"/>
    <w:rsid w:val="00282A2A"/>
    <w:rsid w:val="0028649A"/>
    <w:rsid w:val="00290BDF"/>
    <w:rsid w:val="002A19E1"/>
    <w:rsid w:val="002A40D1"/>
    <w:rsid w:val="002A5A54"/>
    <w:rsid w:val="002B29D0"/>
    <w:rsid w:val="002D3929"/>
    <w:rsid w:val="002F74F2"/>
    <w:rsid w:val="00302E46"/>
    <w:rsid w:val="00354029"/>
    <w:rsid w:val="0036380D"/>
    <w:rsid w:val="0037306B"/>
    <w:rsid w:val="00375327"/>
    <w:rsid w:val="003877D7"/>
    <w:rsid w:val="00393F6C"/>
    <w:rsid w:val="003A5E41"/>
    <w:rsid w:val="003B15EB"/>
    <w:rsid w:val="003C35EC"/>
    <w:rsid w:val="003E231E"/>
    <w:rsid w:val="003E650B"/>
    <w:rsid w:val="004214A6"/>
    <w:rsid w:val="00422E89"/>
    <w:rsid w:val="00451483"/>
    <w:rsid w:val="00467B29"/>
    <w:rsid w:val="00474586"/>
    <w:rsid w:val="004A2C38"/>
    <w:rsid w:val="004C1056"/>
    <w:rsid w:val="00513102"/>
    <w:rsid w:val="00516A63"/>
    <w:rsid w:val="0055515E"/>
    <w:rsid w:val="005625AE"/>
    <w:rsid w:val="005B667C"/>
    <w:rsid w:val="005D22F1"/>
    <w:rsid w:val="005D3FF4"/>
    <w:rsid w:val="005F0613"/>
    <w:rsid w:val="005F56CF"/>
    <w:rsid w:val="00603946"/>
    <w:rsid w:val="00605D37"/>
    <w:rsid w:val="00657BD7"/>
    <w:rsid w:val="006875F7"/>
    <w:rsid w:val="006B18D2"/>
    <w:rsid w:val="006D412C"/>
    <w:rsid w:val="006F5BEE"/>
    <w:rsid w:val="00702261"/>
    <w:rsid w:val="007261B4"/>
    <w:rsid w:val="0075502C"/>
    <w:rsid w:val="007D47D7"/>
    <w:rsid w:val="007E1412"/>
    <w:rsid w:val="007E69B5"/>
    <w:rsid w:val="008109C1"/>
    <w:rsid w:val="00814BA2"/>
    <w:rsid w:val="00817BF6"/>
    <w:rsid w:val="008276DE"/>
    <w:rsid w:val="00847685"/>
    <w:rsid w:val="00884654"/>
    <w:rsid w:val="008B3373"/>
    <w:rsid w:val="008B3778"/>
    <w:rsid w:val="008B67ED"/>
    <w:rsid w:val="008E52B0"/>
    <w:rsid w:val="008F33BA"/>
    <w:rsid w:val="00920B93"/>
    <w:rsid w:val="00940226"/>
    <w:rsid w:val="00952019"/>
    <w:rsid w:val="009B4C30"/>
    <w:rsid w:val="009C3409"/>
    <w:rsid w:val="009E5171"/>
    <w:rsid w:val="009F7F74"/>
    <w:rsid w:val="00A50F5D"/>
    <w:rsid w:val="00AA7F1E"/>
    <w:rsid w:val="00AD48F6"/>
    <w:rsid w:val="00B029BF"/>
    <w:rsid w:val="00B05D1B"/>
    <w:rsid w:val="00B2397B"/>
    <w:rsid w:val="00B700E3"/>
    <w:rsid w:val="00C03D4F"/>
    <w:rsid w:val="00C04289"/>
    <w:rsid w:val="00C23778"/>
    <w:rsid w:val="00C337F8"/>
    <w:rsid w:val="00C61AD9"/>
    <w:rsid w:val="00C64A66"/>
    <w:rsid w:val="00C660AE"/>
    <w:rsid w:val="00C92796"/>
    <w:rsid w:val="00C966B2"/>
    <w:rsid w:val="00CA222F"/>
    <w:rsid w:val="00CB02FC"/>
    <w:rsid w:val="00CD2BB6"/>
    <w:rsid w:val="00CF26FB"/>
    <w:rsid w:val="00D23605"/>
    <w:rsid w:val="00D4395C"/>
    <w:rsid w:val="00D46B93"/>
    <w:rsid w:val="00D47D65"/>
    <w:rsid w:val="00D63CDB"/>
    <w:rsid w:val="00D87461"/>
    <w:rsid w:val="00E00E67"/>
    <w:rsid w:val="00E21584"/>
    <w:rsid w:val="00E310F6"/>
    <w:rsid w:val="00E350DA"/>
    <w:rsid w:val="00F004E6"/>
    <w:rsid w:val="00F26D75"/>
    <w:rsid w:val="00F43EA2"/>
    <w:rsid w:val="00F80B7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00E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8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10</cp:revision>
  <dcterms:created xsi:type="dcterms:W3CDTF">2025-10-17T09:50:00Z</dcterms:created>
  <dcterms:modified xsi:type="dcterms:W3CDTF">2025-10-22T08:40:00Z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